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</w:pPr>
      <w:r>
        <w:rPr>
          <w:rFonts w:ascii="Malgun Gothic" w:hAnsi="Malgun Gothic" w:eastAsia="Malgun Gothic"/>
          <w:b/>
          <w:i w:val="0"/>
          <w:color w:val="E76F51"/>
          <w:sz w:val="17"/>
        </w:rPr>
        <w:t>ART CRITICISM · 5 LENSES</w:t>
      </w:r>
    </w:p>
    <w:p>
      <w:pPr>
        <w:spacing w:before="0" w:after="40"/>
      </w:pPr>
      <w:r>
        <w:rPr>
          <w:rFonts w:ascii="Malgun Gothic" w:hAnsi="Malgun Gothic" w:eastAsia="Malgun Gothic"/>
          <w:b/>
          <w:i w:val="0"/>
          <w:color w:val="172033"/>
          <w:sz w:val="44"/>
        </w:rPr>
        <w:t>미술을 보는 다섯 개의 렌즈</w:t>
      </w:r>
    </w:p>
    <w:p>
      <w:pPr>
        <w:spacing w:before="0" w:after="100"/>
      </w:pPr>
      <w:r>
        <w:rPr>
          <w:rFonts w:ascii="Malgun Gothic" w:hAnsi="Malgun Gothic" w:eastAsia="Malgun Gothic"/>
          <w:b w:val="0"/>
          <w:i w:val="0"/>
          <w:color w:val="5B6472"/>
          <w:sz w:val="20"/>
        </w:rPr>
        <w:t>좋은 작품의 기준은 하나가 아니다. 렌즈를 바꾸면 같은 작품도 다르게 보인다.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2" w:color="FFF1E8"/>
          <w:left w:val="single" w:sz="2" w:color="FFF1E8"/>
          <w:bottom w:val="single" w:sz="2" w:color="FFF1E8"/>
          <w:right w:val="single" w:sz="2" w:color="FFF1E8"/>
          <w:insideH w:val="single" w:sz="2" w:color="FFF1E8"/>
          <w:insideV w:val="single" w:sz="2" w:color="FFF1E8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FFF1E8"/>
            <w:tcMar>
              <w:top w:w="70" w:type="dxa"/>
              <w:start w:w="150" w:type="dxa"/>
              <w:bottom w:w="70" w:type="dxa"/>
              <w:end w:w="150" w:type="dxa"/>
            </w:tcMar>
          </w:tcPr>
          <w:p>
            <w:pPr>
              <w:spacing w:before="0" w:after="0"/>
            </w:pPr>
            <w:r/>
            <w:r>
              <w:rPr>
                <w:rFonts w:ascii="Malgun Gothic" w:hAnsi="Malgun Gothic" w:eastAsia="Malgun Gothic"/>
                <w:b/>
                <w:i w:val="0"/>
                <w:color w:val="C44A2B"/>
                <w:sz w:val="18"/>
              </w:rPr>
              <w:t xml:space="preserve">수업 시작  </w:t>
            </w:r>
            <w:r>
              <w:rPr>
                <w:rFonts w:ascii="Malgun Gothic" w:hAnsi="Malgun Gothic" w:eastAsia="Malgun Gothic"/>
                <w:b/>
                <w:i w:val="0"/>
                <w:color w:val="172033"/>
                <w:sz w:val="18"/>
              </w:rPr>
              <w:t>다섯 작품 중 10초 더 보고 싶은 하나를 고르고, 그 이유를 한 단어로 말해 보자.</w:t>
            </w:r>
          </w:p>
        </w:tc>
      </w:tr>
    </w:tbl>
    <w:p>
      <w:pPr>
        <w:spacing w:before="40" w:after="100"/>
      </w:pPr>
      <w:r>
        <w:rPr>
          <w:rFonts w:ascii="Malgun Gothic" w:hAnsi="Malgun Gothic" w:eastAsia="Malgun Gothic"/>
          <w:b w:val="0"/>
          <w:i/>
          <w:color w:val="5B6472"/>
          <w:sz w:val="16"/>
        </w:rPr>
        <w:t>※ 아래 번호는 미술사의 역사적 순서가 아니라 서로 다른 감상 기준이다.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D9DEE8"/>
          <w:left w:val="single" w:sz="5" w:color="D9DEE8"/>
          <w:bottom w:val="single" w:sz="5" w:color="D9DEE8"/>
          <w:right w:val="single" w:sz="5" w:color="D9DEE8"/>
          <w:insideH w:val="single" w:sz="5" w:color="D9DEE8"/>
          <w:insideV w:val="single" w:sz="5" w:color="D9DEE8"/>
        </w:tblBorders>
      </w:tblPr>
      <w:tblGrid>
        <w:gridCol w:w="3100"/>
        <w:gridCol w:w="6260"/>
      </w:tblGrid>
      <w:tr>
        <w:tc>
          <w:tcPr>
            <w:tcW w:type="dxa" w:w="3100"/>
            <w:vAlign w:val="center"/>
            <w:shd w:fill="2A9D8F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627632" cy="1408176"/>
                  <wp:docPr id="1" name="Picture 1" descr="알브레히트 뒤러, 《어린 토끼》, 1502 작품 이미지" title="알브레히트 뒤러, 《어린 토끼》, 150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re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140817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60"/>
            <w:vAlign w:val="center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40"/>
            </w:pPr>
            <w:r/>
            <w:r>
              <w:rPr>
                <w:rFonts w:ascii="Malgun Gothic" w:hAnsi="Malgun Gothic" w:eastAsia="Malgun Gothic"/>
                <w:b/>
                <w:i w:val="0"/>
                <w:color w:val="2A9D8F"/>
                <w:sz w:val="28"/>
              </w:rPr>
              <w:t>1. 모방주의</w:t>
            </w:r>
            <w:r>
              <w:rPr>
                <w:rFonts w:ascii="Malgun Gothic" w:hAnsi="Malgun Gothic" w:eastAsia="Malgun Gothic"/>
                <w:b/>
                <w:i w:val="0"/>
                <w:color w:val="5B6472"/>
                <w:sz w:val="18"/>
              </w:rPr>
              <w:t xml:space="preserve">  현실을 얼마나 설득력 있게 재현했는가?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172033"/>
                <w:sz w:val="19"/>
              </w:rPr>
              <w:t>알브레히트 뒤러, 《어린 토끼》, 1502</w:t>
            </w:r>
          </w:p>
          <w:p>
            <w:pPr>
              <w:spacing w:before="0" w:after="40"/>
            </w:pPr>
            <w:r>
              <w:rPr>
                <w:rFonts w:ascii="Malgun Gothic" w:hAnsi="Malgun Gothic" w:eastAsia="Malgun Gothic"/>
                <w:b/>
                <w:i w:val="0"/>
                <w:color w:val="2A9D8F"/>
                <w:sz w:val="17"/>
              </w:rPr>
              <w:t xml:space="preserve">무엇을 보는가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대상의 생김새, 질감, 빛과 공간을 얼마나 정확하고 생생하게 포착했는지 본다.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2A9D8F"/>
                <w:sz w:val="17"/>
              </w:rPr>
              <w:t xml:space="preserve">작품 속 근거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털의 방향·수염·눈에 비친 창문까지 관찰해 ‘살아 있는 토끼’ 같은 촉각을 만든다.</w:t>
            </w:r>
          </w:p>
          <w:p>
            <w:pPr>
              <w:spacing w:before="0" w:after="0"/>
            </w:pPr>
            <w:r>
              <w:rPr>
                <w:rFonts w:ascii="Malgun Gothic" w:hAnsi="Malgun Gothic" w:eastAsia="Malgun Gothic"/>
                <w:b/>
                <w:i w:val="0"/>
                <w:color w:val="2A9D8F"/>
                <w:sz w:val="17"/>
              </w:rPr>
              <w:t xml:space="preserve">한 번에 꽂히는 질문  </w:t>
            </w:r>
            <w:r>
              <w:rPr>
                <w:rFonts w:ascii="Malgun Gothic" w:hAnsi="Malgun Gothic" w:eastAsia="Malgun Gothic"/>
                <w:b/>
                <w:i w:val="0"/>
                <w:color w:val="172033"/>
                <w:sz w:val="17"/>
              </w:rPr>
              <w:t>사진보다 더 사실적으로 느껴지는 부분은 어디일까?</w:t>
            </w:r>
          </w:p>
        </w:tc>
      </w:tr>
      <w:tr>
        <w:tc>
          <w:tcPr>
            <w:tcW w:type="dxa" w:w="3100"/>
            <w:vAlign w:val="center"/>
            <w:shd w:fill="E76F51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417320" cy="1600200"/>
                  <wp:docPr id="2" name="Picture 2" descr="에드바르 뭉크, 《절규》, 1893 작품 이미지" title="에드바르 뭉크, 《절규》, 189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cream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600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60"/>
            <w:vAlign w:val="center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40"/>
            </w:pPr>
            <w:r/>
            <w:r>
              <w:rPr>
                <w:rFonts w:ascii="Malgun Gothic" w:hAnsi="Malgun Gothic" w:eastAsia="Malgun Gothic"/>
                <w:b/>
                <w:i w:val="0"/>
                <w:color w:val="E76F51"/>
                <w:sz w:val="28"/>
              </w:rPr>
              <w:t>2. 표현주의</w:t>
            </w:r>
            <w:r>
              <w:rPr>
                <w:rFonts w:ascii="Malgun Gothic" w:hAnsi="Malgun Gothic" w:eastAsia="Malgun Gothic"/>
                <w:b/>
                <w:i w:val="0"/>
                <w:color w:val="5B6472"/>
                <w:sz w:val="18"/>
              </w:rPr>
              <w:t xml:space="preserve">  작가의 감정과 내면이 얼마나 강하게 전달되는가?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172033"/>
                <w:sz w:val="19"/>
              </w:rPr>
              <w:t>에드바르 뭉크, 《절규》, 1893</w:t>
            </w:r>
          </w:p>
          <w:p>
            <w:pPr>
              <w:spacing w:before="0" w:after="40"/>
            </w:pPr>
            <w:r>
              <w:rPr>
                <w:rFonts w:ascii="Malgun Gothic" w:hAnsi="Malgun Gothic" w:eastAsia="Malgun Gothic"/>
                <w:b/>
                <w:i w:val="0"/>
                <w:color w:val="E76F51"/>
                <w:sz w:val="17"/>
              </w:rPr>
              <w:t xml:space="preserve">무엇을 보는가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정확한 묘사보다 불안·공포·외로움 같은 감정이 어떤 방식으로 전달되는지 본다.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E76F51"/>
                <w:sz w:val="17"/>
              </w:rPr>
              <w:t xml:space="preserve">작품 속 근거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휘어진 선, 피처럼 붉은 하늘, 일그러진 얼굴이 풍경 전체를 하나의 비명처럼 만든다.</w:t>
            </w:r>
          </w:p>
          <w:p>
            <w:pPr>
              <w:spacing w:before="0" w:after="0"/>
            </w:pPr>
            <w:r>
              <w:rPr>
                <w:rFonts w:ascii="Malgun Gothic" w:hAnsi="Malgun Gothic" w:eastAsia="Malgun Gothic"/>
                <w:b/>
                <w:i w:val="0"/>
                <w:color w:val="E76F51"/>
                <w:sz w:val="17"/>
              </w:rPr>
              <w:t xml:space="preserve">한 번에 꽂히는 질문  </w:t>
            </w:r>
            <w:r>
              <w:rPr>
                <w:rFonts w:ascii="Malgun Gothic" w:hAnsi="Malgun Gothic" w:eastAsia="Malgun Gothic"/>
                <w:b/>
                <w:i w:val="0"/>
                <w:color w:val="172033"/>
                <w:sz w:val="17"/>
              </w:rPr>
              <w:t>이 그림을 5초짜리 ‘소리’로 바꾼다면 어떤 소리일까?</w:t>
            </w:r>
          </w:p>
        </w:tc>
      </w:tr>
      <w:tr>
        <w:tc>
          <w:tcPr>
            <w:tcW w:type="dxa" w:w="3100"/>
            <w:vAlign w:val="center"/>
            <w:shd w:fill="277DA1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508760" cy="1527048"/>
                  <wp:docPr id="3" name="Picture 3" descr="피트 몬드리안, 《빨강·파랑·노랑의 구성 II》, 1930 작품 이미지" title="피트 몬드리안, 《빨강·파랑·노랑의 구성 II》, 193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ndrian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52704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60"/>
            <w:vAlign w:val="center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40"/>
            </w:pPr>
            <w:r/>
            <w:r>
              <w:rPr>
                <w:rFonts w:ascii="Malgun Gothic" w:hAnsi="Malgun Gothic" w:eastAsia="Malgun Gothic"/>
                <w:b/>
                <w:i w:val="0"/>
                <w:color w:val="277DA1"/>
                <w:sz w:val="28"/>
              </w:rPr>
              <w:t>3. 형식주의</w:t>
            </w:r>
            <w:r>
              <w:rPr>
                <w:rFonts w:ascii="Malgun Gothic" w:hAnsi="Malgun Gothic" w:eastAsia="Malgun Gothic"/>
                <w:b/>
                <w:i w:val="0"/>
                <w:color w:val="5B6472"/>
                <w:sz w:val="18"/>
              </w:rPr>
              <w:t xml:space="preserve">  색·선·면·구도의 관계가 얼마나 완성도 있는가?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172033"/>
                <w:sz w:val="19"/>
              </w:rPr>
              <w:t>피트 몬드리안, 《빨강·파랑·노랑의 구성 II》, 1930</w:t>
            </w:r>
          </w:p>
          <w:p>
            <w:pPr>
              <w:spacing w:before="0" w:after="40"/>
            </w:pPr>
            <w:r>
              <w:rPr>
                <w:rFonts w:ascii="Malgun Gothic" w:hAnsi="Malgun Gothic" w:eastAsia="Malgun Gothic"/>
                <w:b/>
                <w:i w:val="0"/>
                <w:color w:val="277DA1"/>
                <w:sz w:val="17"/>
              </w:rPr>
              <w:t xml:space="preserve">무엇을 보는가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이야기나 시대 배경보다 조형 요소와 원리 자체의 질서, 균형, 리듬을 중심으로 본다.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277DA1"/>
                <w:sz w:val="17"/>
              </w:rPr>
              <w:t xml:space="preserve">작품 속 근거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굵기가 다른 검은 선과 크기가 다른 색면이 비대칭인데도 팽팽한 균형을 이룬다.</w:t>
            </w:r>
          </w:p>
          <w:p>
            <w:pPr>
              <w:spacing w:before="0" w:after="0"/>
            </w:pPr>
            <w:r>
              <w:rPr>
                <w:rFonts w:ascii="Malgun Gothic" w:hAnsi="Malgun Gothic" w:eastAsia="Malgun Gothic"/>
                <w:b/>
                <w:i w:val="0"/>
                <w:color w:val="277DA1"/>
                <w:sz w:val="17"/>
              </w:rPr>
              <w:t xml:space="preserve">한 번에 꽂히는 질문  </w:t>
            </w:r>
            <w:r>
              <w:rPr>
                <w:rFonts w:ascii="Malgun Gothic" w:hAnsi="Malgun Gothic" w:eastAsia="Malgun Gothic"/>
                <w:b/>
                <w:i w:val="0"/>
                <w:color w:val="172033"/>
                <w:sz w:val="17"/>
              </w:rPr>
              <w:t>빨간 면을 다른 곳으로 옮기면 작품의 무게중심은 어떻게 달라질까?</w:t>
            </w:r>
          </w:p>
        </w:tc>
      </w:tr>
    </w:tbl>
    <w:p>
      <w:r>
        <w:br w:type="page"/>
      </w:r>
    </w:p>
    <w:p>
      <w:pPr>
        <w:spacing w:before="0" w:after="100"/>
      </w:pPr>
      <w:r>
        <w:rPr>
          <w:rFonts w:ascii="Malgun Gothic" w:hAnsi="Malgun Gothic" w:eastAsia="Malgun Gothic"/>
          <w:b/>
          <w:i w:val="0"/>
          <w:color w:val="172033"/>
          <w:sz w:val="32"/>
        </w:rPr>
        <w:t>기능과 맥락까지 보면, 그림 밖의 세계가 들어온다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D9DEE8"/>
          <w:left w:val="single" w:sz="5" w:color="D9DEE8"/>
          <w:bottom w:val="single" w:sz="5" w:color="D9DEE8"/>
          <w:right w:val="single" w:sz="5" w:color="D9DEE8"/>
          <w:insideH w:val="single" w:sz="5" w:color="D9DEE8"/>
          <w:insideV w:val="single" w:sz="5" w:color="D9DEE8"/>
        </w:tblBorders>
      </w:tblPr>
      <w:tblGrid>
        <w:gridCol w:w="3100"/>
        <w:gridCol w:w="6260"/>
      </w:tblGrid>
      <w:tr>
        <w:tc>
          <w:tcPr>
            <w:tcW w:type="dxa" w:w="3100"/>
            <w:vAlign w:val="center"/>
            <w:shd w:fill="C43D4B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773936" cy="1353312"/>
                  <wp:docPr id="4" name="Picture 4" descr="프란시스코 고야, 《1808년 5월 3일》, 1814 작품 이미지" title="프란시스코 고야, 《1808년 5월 3일》, 18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goya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3936" cy="13533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60"/>
            <w:vAlign w:val="center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40"/>
            </w:pPr>
            <w:r/>
            <w:r>
              <w:rPr>
                <w:rFonts w:ascii="Malgun Gothic" w:hAnsi="Malgun Gothic" w:eastAsia="Malgun Gothic"/>
                <w:b/>
                <w:i w:val="0"/>
                <w:color w:val="C43D4B"/>
                <w:sz w:val="28"/>
              </w:rPr>
              <w:t>4. 도구주의</w:t>
            </w:r>
            <w:r>
              <w:rPr>
                <w:rFonts w:ascii="Malgun Gothic" w:hAnsi="Malgun Gothic" w:eastAsia="Malgun Gothic"/>
                <w:b/>
                <w:i w:val="0"/>
                <w:color w:val="5B6472"/>
                <w:sz w:val="18"/>
              </w:rPr>
              <w:t xml:space="preserve">  작품이 어떤 목적과 변화를 만들어 내는가?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172033"/>
                <w:sz w:val="19"/>
              </w:rPr>
              <w:t>프란시스코 고야, 《1808년 5월 3일》, 1814</w:t>
            </w:r>
          </w:p>
          <w:p>
            <w:pPr>
              <w:spacing w:before="0" w:after="40"/>
            </w:pPr>
            <w:r>
              <w:rPr>
                <w:rFonts w:ascii="Malgun Gothic" w:hAnsi="Malgun Gothic" w:eastAsia="Malgun Gothic"/>
                <w:b/>
                <w:i w:val="0"/>
                <w:color w:val="C43D4B"/>
                <w:sz w:val="17"/>
              </w:rPr>
              <w:t xml:space="preserve">무엇을 보는가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예술을 사회적 메시지·교육·설득·기억·저항을 위한 ‘도구’로 보고 효과를 판단한다.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C43D4B"/>
                <w:sz w:val="17"/>
              </w:rPr>
              <w:t xml:space="preserve">작품 속 근거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흰옷의 시민에게 빛을 집중시키고 총살 직전의 공포를 드러내 전쟁의 비인간성을 고발한다.</w:t>
            </w:r>
          </w:p>
          <w:p>
            <w:pPr>
              <w:spacing w:before="0" w:after="0"/>
            </w:pPr>
            <w:r>
              <w:rPr>
                <w:rFonts w:ascii="Malgun Gothic" w:hAnsi="Malgun Gothic" w:eastAsia="Malgun Gothic"/>
                <w:b/>
                <w:i w:val="0"/>
                <w:color w:val="C43D4B"/>
                <w:sz w:val="17"/>
              </w:rPr>
              <w:t xml:space="preserve">한 번에 꽂히는 질문  </w:t>
            </w:r>
            <w:r>
              <w:rPr>
                <w:rFonts w:ascii="Malgun Gothic" w:hAnsi="Malgun Gothic" w:eastAsia="Malgun Gothic"/>
                <w:b/>
                <w:i w:val="0"/>
                <w:color w:val="172033"/>
                <w:sz w:val="17"/>
              </w:rPr>
              <w:t>이 이미지가 오늘 SNS에 올라온다면 사람들의 행동을 바꿀 수 있을까?</w:t>
            </w:r>
          </w:p>
        </w:tc>
      </w:tr>
      <w:tr>
        <w:tc>
          <w:tcPr>
            <w:tcW w:type="dxa" w:w="3100"/>
            <w:vAlign w:val="center"/>
            <w:shd w:fill="7B2CBF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52728" cy="1609344"/>
                  <wp:docPr id="5" name="Picture 5" descr="마르셀 뒤샹, 《샘》, 1917 (원작 소실, 당시 사진) 작품 이미지" title="마르셀 뒤샹, 《샘》, 1917 (원작 소실, 당시 사진)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ountain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728" cy="160934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60"/>
            <w:vAlign w:val="center"/>
            <w:shd w:fill="FFFFFF"/>
            <w:tcMar>
              <w:top w:w="105" w:type="dxa"/>
              <w:start w:w="120" w:type="dxa"/>
              <w:bottom w:w="105" w:type="dxa"/>
              <w:end w:w="120" w:type="dxa"/>
            </w:tcMar>
          </w:tcPr>
          <w:p>
            <w:pPr>
              <w:spacing w:before="0" w:after="40"/>
            </w:pPr>
            <w:r/>
            <w:r>
              <w:rPr>
                <w:rFonts w:ascii="Malgun Gothic" w:hAnsi="Malgun Gothic" w:eastAsia="Malgun Gothic"/>
                <w:b/>
                <w:i w:val="0"/>
                <w:color w:val="7B2CBF"/>
                <w:sz w:val="28"/>
              </w:rPr>
              <w:t>5. 맥락주의</w:t>
            </w:r>
            <w:r>
              <w:rPr>
                <w:rFonts w:ascii="Malgun Gothic" w:hAnsi="Malgun Gothic" w:eastAsia="Malgun Gothic"/>
                <w:b/>
                <w:i w:val="0"/>
                <w:color w:val="5B6472"/>
                <w:sz w:val="18"/>
              </w:rPr>
              <w:t xml:space="preserve">  상황과 제도가 작품의 의미를 어떻게 바꾸는가?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172033"/>
                <w:sz w:val="19"/>
              </w:rPr>
              <w:t>마르셀 뒤샹, 《샘》, 1917 (원작 소실, 당시 사진)</w:t>
            </w:r>
          </w:p>
          <w:p>
            <w:pPr>
              <w:spacing w:before="0" w:after="40"/>
            </w:pPr>
            <w:r>
              <w:rPr>
                <w:rFonts w:ascii="Malgun Gothic" w:hAnsi="Malgun Gothic" w:eastAsia="Malgun Gothic"/>
                <w:b/>
                <w:i w:val="0"/>
                <w:color w:val="7B2CBF"/>
                <w:sz w:val="17"/>
              </w:rPr>
              <w:t xml:space="preserve">무엇을 보는가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형태만 보지 않고 작품이 등장한 시대·전시 제도·작가의 선택·관람자의 반응을 함께 살핀다.</w:t>
            </w:r>
          </w:p>
          <w:p>
            <w:pPr>
              <w:spacing w:before="0" w:after="60"/>
            </w:pPr>
            <w:r>
              <w:rPr>
                <w:rFonts w:ascii="Malgun Gothic" w:hAnsi="Malgun Gothic" w:eastAsia="Malgun Gothic"/>
                <w:b/>
                <w:i w:val="0"/>
                <w:color w:val="7B2CBF"/>
                <w:sz w:val="17"/>
              </w:rPr>
              <w:t xml:space="preserve">작품 속 근거  </w:t>
            </w:r>
            <w:r>
              <w:rPr>
                <w:rFonts w:ascii="Malgun Gothic" w:hAnsi="Malgun Gothic" w:eastAsia="Malgun Gothic"/>
                <w:b w:val="0"/>
                <w:i w:val="0"/>
                <w:color w:val="172033"/>
                <w:sz w:val="17"/>
              </w:rPr>
              <w:t>뒤샹은 기성품 소변기를 눕히고 ‘R. Mutt’라고 서명해 1917년 전시에 냈다. 거부 사건은 ‘누가 무엇을 예술로 정하는가’를 논쟁하게 했다.</w:t>
            </w:r>
          </w:p>
          <w:p>
            <w:pPr>
              <w:spacing w:before="0" w:after="0"/>
            </w:pPr>
            <w:r>
              <w:rPr>
                <w:rFonts w:ascii="Malgun Gothic" w:hAnsi="Malgun Gothic" w:eastAsia="Malgun Gothic"/>
                <w:b/>
                <w:i w:val="0"/>
                <w:color w:val="7B2CBF"/>
                <w:sz w:val="17"/>
              </w:rPr>
              <w:t xml:space="preserve">한 번에 꽂히는 질문  </w:t>
            </w:r>
            <w:r>
              <w:rPr>
                <w:rFonts w:ascii="Malgun Gothic" w:hAnsi="Malgun Gothic" w:eastAsia="Malgun Gothic"/>
                <w:b/>
                <w:i w:val="0"/>
                <w:color w:val="172033"/>
                <w:sz w:val="17"/>
              </w:rPr>
              <w:t>같은 소변기가 화장실과 미술관에 있을 때, 왜 한쪽만 작품처럼 보일까?</w:t>
            </w:r>
          </w:p>
        </w:tc>
      </w:tr>
    </w:tbl>
    <w:p>
      <w:pPr>
        <w:spacing w:before="140" w:after="60"/>
      </w:pPr>
      <w:r>
        <w:rPr>
          <w:rFonts w:ascii="Malgun Gothic" w:hAnsi="Malgun Gothic" w:eastAsia="Malgun Gothic"/>
          <w:b/>
          <w:i w:val="0"/>
          <w:color w:val="172033"/>
          <w:sz w:val="26"/>
        </w:rPr>
        <w:t>한 작품에 렌즈 바꾸기</w:t>
      </w:r>
    </w:p>
    <w:p>
      <w:pPr>
        <w:spacing w:before="0" w:after="80"/>
      </w:pPr>
      <w:r>
        <w:rPr>
          <w:rFonts w:ascii="Malgun Gothic" w:hAnsi="Malgun Gothic" w:eastAsia="Malgun Gothic"/>
          <w:b/>
          <w:i w:val="0"/>
          <w:color w:val="E76F51"/>
          <w:sz w:val="18"/>
        </w:rPr>
        <w:t xml:space="preserve">《절규》를 다시 본다면: </w:t>
      </w:r>
      <w:r>
        <w:rPr>
          <w:rFonts w:ascii="Malgun Gothic" w:hAnsi="Malgun Gothic" w:eastAsia="Malgun Gothic"/>
          <w:b w:val="0"/>
          <w:i w:val="0"/>
          <w:color w:val="172033"/>
          <w:sz w:val="18"/>
        </w:rPr>
        <w:t>닮았는가(모방) · 감정이 전해지는가(표현) · 선과 색은 어떻게 조직됐는가(형식) · 어떤 영향을 주는가(도구) · 1890년대 도시인의 불안과 어떤 관련이 있는가(맥락)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3" w:color="E6ECF5"/>
          <w:left w:val="single" w:sz="3" w:color="E6ECF5"/>
          <w:bottom w:val="single" w:sz="3" w:color="E6ECF5"/>
          <w:right w:val="single" w:sz="3" w:color="E6ECF5"/>
          <w:insideH w:val="single" w:sz="3" w:color="E6ECF5"/>
          <w:insideV w:val="single" w:sz="3" w:color="E6ECF5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EEF3FA"/>
            <w:tcMar>
              <w:top w:w="90" w:type="dxa"/>
              <w:start w:w="150" w:type="dxa"/>
              <w:bottom w:w="90" w:type="dxa"/>
              <w:end w:w="150" w:type="dxa"/>
            </w:tcMar>
          </w:tcPr>
          <w:p>
            <w:pPr>
              <w:spacing w:before="0" w:after="0"/>
            </w:pPr>
            <w:r/>
            <w:r>
              <w:rPr>
                <w:rFonts w:ascii="Malgun Gothic" w:hAnsi="Malgun Gothic" w:eastAsia="Malgun Gothic"/>
                <w:b/>
                <w:i w:val="0"/>
                <w:color w:val="234E78"/>
                <w:sz w:val="19"/>
              </w:rPr>
              <w:t xml:space="preserve">핵심  </w:t>
            </w:r>
            <w:r>
              <w:rPr>
                <w:rFonts w:ascii="Malgun Gothic" w:hAnsi="Malgun Gothic" w:eastAsia="Malgun Gothic"/>
                <w:b/>
                <w:i w:val="0"/>
                <w:color w:val="172033"/>
                <w:sz w:val="19"/>
              </w:rPr>
              <w:t>비평은 정답 찾기가 아니라, 선택한 관점에 맞는 ‘작품 속 근거’를 설득력 있게 제시하는 일이다.</w:t>
            </w:r>
          </w:p>
        </w:tc>
      </w:tr>
    </w:tbl>
    <w:p>
      <w:pPr>
        <w:spacing w:before="100" w:after="20"/>
      </w:pPr>
      <w:r>
        <w:rPr>
          <w:rFonts w:ascii="Malgun Gothic" w:hAnsi="Malgun Gothic" w:eastAsia="Malgun Gothic"/>
          <w:b/>
          <w:i w:val="0"/>
          <w:color w:val="5B6472"/>
          <w:sz w:val="15"/>
        </w:rPr>
        <w:t>이미지·작품 해설 출처</w:t>
      </w:r>
    </w:p>
    <w:p>
      <w:pPr>
        <w:spacing w:before="0" w:after="0"/>
      </w:pPr>
      <w:hyperlink r:id="rId15">
        <w:r>
          <w:rPr>
            <w:rFonts w:ascii="Malgun Gothic" w:hAnsi="Malgun Gothic" w:eastAsia="Malgun Gothic"/>
            <w:color w:val="3C5A99"/>
            <w:u w:val="single"/>
            <w:sz w:val="15"/>
          </w:rPr>
          <w:t>뒤러 《어린 토끼》</w:t>
        </w:r>
      </w:hyperlink>
      <w:r>
        <w:rPr>
          <w:rFonts w:ascii="Malgun Gothic" w:hAnsi="Malgun Gothic" w:eastAsia="Malgun Gothic"/>
          <w:b w:val="0"/>
          <w:i w:val="0"/>
          <w:color w:val="5B6472"/>
          <w:sz w:val="15"/>
        </w:rPr>
        <w:t xml:space="preserve">  ·  </w:t>
      </w:r>
      <w:hyperlink r:id="rId16">
        <w:r>
          <w:rPr>
            <w:rFonts w:ascii="Malgun Gothic" w:hAnsi="Malgun Gothic" w:eastAsia="Malgun Gothic"/>
            <w:color w:val="3C5A99"/>
            <w:u w:val="single"/>
            <w:sz w:val="15"/>
          </w:rPr>
          <w:t>뭉크 《절규》</w:t>
        </w:r>
      </w:hyperlink>
      <w:r>
        <w:rPr>
          <w:rFonts w:ascii="Malgun Gothic" w:hAnsi="Malgun Gothic" w:eastAsia="Malgun Gothic"/>
          <w:b w:val="0"/>
          <w:i w:val="0"/>
          <w:color w:val="5B6472"/>
          <w:sz w:val="15"/>
        </w:rPr>
        <w:t xml:space="preserve">  ·  </w:t>
      </w:r>
      <w:hyperlink r:id="rId17">
        <w:r>
          <w:rPr>
            <w:rFonts w:ascii="Malgun Gothic" w:hAnsi="Malgun Gothic" w:eastAsia="Malgun Gothic"/>
            <w:color w:val="3C5A99"/>
            <w:u w:val="single"/>
            <w:sz w:val="15"/>
          </w:rPr>
          <w:t>몬드리안 《구성 II》</w:t>
        </w:r>
      </w:hyperlink>
      <w:r>
        <w:rPr>
          <w:rFonts w:ascii="Malgun Gothic" w:hAnsi="Malgun Gothic" w:eastAsia="Malgun Gothic"/>
          <w:b w:val="0"/>
          <w:i w:val="0"/>
          <w:color w:val="5B6472"/>
          <w:sz w:val="15"/>
        </w:rPr>
        <w:t xml:space="preserve">  ·  </w:t>
      </w:r>
      <w:hyperlink r:id="rId18">
        <w:r>
          <w:rPr>
            <w:rFonts w:ascii="Malgun Gothic" w:hAnsi="Malgun Gothic" w:eastAsia="Malgun Gothic"/>
            <w:color w:val="3C5A99"/>
            <w:u w:val="single"/>
            <w:sz w:val="15"/>
          </w:rPr>
          <w:t>고야 《1808년 5월 3일》</w:t>
        </w:r>
      </w:hyperlink>
      <w:r>
        <w:rPr>
          <w:rFonts w:ascii="Malgun Gothic" w:hAnsi="Malgun Gothic" w:eastAsia="Malgun Gothic"/>
          <w:b w:val="0"/>
          <w:i w:val="0"/>
          <w:color w:val="5B6472"/>
          <w:sz w:val="15"/>
        </w:rPr>
        <w:t xml:space="preserve">  ·  </w:t>
      </w:r>
      <w:hyperlink r:id="rId19">
        <w:r>
          <w:rPr>
            <w:rFonts w:ascii="Malgun Gothic" w:hAnsi="Malgun Gothic" w:eastAsia="Malgun Gothic"/>
            <w:color w:val="3C5A99"/>
            <w:u w:val="single"/>
            <w:sz w:val="15"/>
          </w:rPr>
          <w:t>뒤샹 《샘》 사진</w:t>
        </w:r>
      </w:hyperlink>
      <w:r>
        <w:rPr>
          <w:rFonts w:ascii="Malgun Gothic" w:hAnsi="Malgun Gothic" w:eastAsia="Malgun Gothic"/>
          <w:b w:val="0"/>
          <w:i w:val="0"/>
          <w:color w:val="5B6472"/>
          <w:sz w:val="15"/>
        </w:rPr>
        <w:t xml:space="preserve">  ·  </w:t>
      </w:r>
      <w:hyperlink r:id="rId20">
        <w:r>
          <w:rPr>
            <w:rFonts w:ascii="Malgun Gothic" w:hAnsi="Malgun Gothic" w:eastAsia="Malgun Gothic"/>
            <w:color w:val="3C5A99"/>
            <w:u w:val="single"/>
            <w:sz w:val="15"/>
          </w:rPr>
          <w:t>SFMOMA 《샘》</w:t>
        </w:r>
      </w:hyperlink>
      <w:r>
        <w:rPr>
          <w:rFonts w:ascii="Malgun Gothic" w:hAnsi="Malgun Gothic" w:eastAsia="Malgun Gothic"/>
          <w:b w:val="0"/>
          <w:i w:val="0"/>
          <w:color w:val="5B6472"/>
          <w:sz w:val="15"/>
        </w:rPr>
        <w:t xml:space="preserve">  ·  </w:t>
      </w:r>
      <w:hyperlink r:id="rId21">
        <w:r>
          <w:rPr>
            <w:rFonts w:ascii="Malgun Gothic" w:hAnsi="Malgun Gothic" w:eastAsia="Malgun Gothic"/>
            <w:color w:val="3C5A99"/>
            <w:u w:val="single"/>
            <w:sz w:val="15"/>
          </w:rPr>
          <w:t>필라델피아미술관 맥락 수업자료</w:t>
        </w:r>
      </w:hyperlink>
    </w:p>
    <w:sectPr w:rsidR="00FC693F" w:rsidRPr="0006063C" w:rsidSect="00034616">
      <w:footerReference w:type="default" r:id="rId9"/>
      <w:pgSz w:w="12240" w:h="15840"/>
      <w:pgMar w:top="691" w:right="893" w:bottom="605" w:left="893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Malgun Gothic" w:hAnsi="Malgun Gothic" w:eastAsia="Malgun Gothic"/>
        <w:b w:val="0"/>
        <w:i w:val="0"/>
        <w:color w:val="5B6472"/>
        <w:sz w:val="16"/>
      </w:rPr>
      <w:t xml:space="preserve">미술 감상과 비평 · </w:t>
    </w:r>
    <w:r>
      <w:rPr>
        <w:rFonts w:ascii="Malgun Gothic" w:hAnsi="Malgun Gothic" w:eastAsia="Malgun Gothic"/>
        <w:b w:val="0"/>
        <w:i w:val="0"/>
        <w:color w:val="5B6472"/>
        <w:sz w:val="16"/>
      </w:rPr>
      <w:fldChar w:fldCharType="begin"/>
      <w:instrText xml:space="preserve">PAGE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69" w:lineRule="auto"/>
    </w:pPr>
    <w:rPr>
      <w:rFonts w:ascii="Malgun Gothic" w:hAnsi="Malgun Gothic" w:eastAsia="Malgun Gothic"/>
      <w:color w:val="1720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203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color w:val="17203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60" w:line="240" w:lineRule="auto" w:before="0"/>
      <w:contextualSpacing/>
    </w:pPr>
    <w:rPr>
      <w:rFonts w:asciiTheme="majorHAnsi" w:eastAsiaTheme="majorEastAsia" w:hAnsiTheme="majorHAnsi" w:cstheme="majorBidi" w:ascii="Malgun Gothic" w:hAnsi="Malgun Gothic" w:eastAsia="Malgun Gothic"/>
      <w:b/>
      <w:color w:val="172033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pn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hyperlink" Target="https://commons.wikimedia.org/wiki/File:Duerer_a_young_hare.jpg" TargetMode="External"/><Relationship Id="rId16" Type="http://schemas.openxmlformats.org/officeDocument/2006/relationships/hyperlink" Target="https://commons.wikimedia.org/wiki/File:Edvard-Munch-The-Scream.jpg" TargetMode="External"/><Relationship Id="rId17" Type="http://schemas.openxmlformats.org/officeDocument/2006/relationships/hyperlink" Target="https://commons.wikimedia.org/wiki/File:Piet_Mondriaan,_1930_-_Mondrian_Composition_II_in_Red,_Blue,_and_Yellow.jpg" TargetMode="External"/><Relationship Id="rId18" Type="http://schemas.openxmlformats.org/officeDocument/2006/relationships/hyperlink" Target="https://commons.wikimedia.org/wiki/File:El_tres_de_mayo_de_1808_en_Madrid.jpg" TargetMode="External"/><Relationship Id="rId19" Type="http://schemas.openxmlformats.org/officeDocument/2006/relationships/hyperlink" Target="https://commons.wikimedia.org/wiki/File:Marcel_Duchamp,_1917,_Fountain,_photograph_by_Alfred_Stieglitz.jpg" TargetMode="External"/><Relationship Id="rId20" Type="http://schemas.openxmlformats.org/officeDocument/2006/relationships/hyperlink" Target="https://www.sfmoma.org/artwork/98.291/" TargetMode="External"/><Relationship Id="rId21" Type="http://schemas.openxmlformats.org/officeDocument/2006/relationships/hyperlink" Target="https://assets.philamuseum.org/legacy/doc_downloads/education/lessonPlans/Duchamps%20Fountain%20and%20the%20Role%20of%20Informatio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미술을 보는 다섯 개의 렌즈</dc:title>
  <dc:subject>미술 감상과 비평의 다섯 관점 교육자료</dc:subject>
  <dc:creator/>
  <cp:keywords>미술 감상, 미술 비평, 모방주의, 표현주의, 형식주의, 도구주의, 맥락주의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